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AC16" w14:textId="77777777" w:rsidR="003B2E49" w:rsidRPr="003B2E49" w:rsidRDefault="003B2E49" w:rsidP="003B2E49">
      <w:pPr>
        <w:spacing w:after="100" w:afterAutospacing="1" w:line="240" w:lineRule="auto"/>
        <w:outlineLvl w:val="1"/>
        <w:rPr>
          <w:rFonts w:ascii="Arial" w:eastAsia="Times New Roman" w:hAnsi="Arial" w:cs="Arial"/>
          <w:b/>
          <w:bCs/>
          <w:kern w:val="0"/>
          <w:sz w:val="36"/>
          <w:szCs w:val="36"/>
          <w14:ligatures w14:val="none"/>
        </w:rPr>
      </w:pPr>
      <w:r w:rsidRPr="003B2E49">
        <w:rPr>
          <w:rFonts w:ascii="Arial" w:eastAsia="Times New Roman" w:hAnsi="Arial" w:cs="Arial"/>
          <w:b/>
          <w:bCs/>
          <w:kern w:val="0"/>
          <w:sz w:val="36"/>
          <w:szCs w:val="36"/>
          <w14:ligatures w14:val="none"/>
        </w:rPr>
        <w:t>Project Progress Report (FINAL)</w:t>
      </w:r>
    </w:p>
    <w:p w14:paraId="2B44A714"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Project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220"/>
        <w:gridCol w:w="1657"/>
        <w:gridCol w:w="1566"/>
        <w:gridCol w:w="2299"/>
      </w:tblGrid>
      <w:tr w:rsidR="003B2E49" w:rsidRPr="003B2E49" w14:paraId="205970DC"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CA7100"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Report Date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5DD276"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Reporting Period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5FBAF5"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Project Name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94046B"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Project No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7A7EA6"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Prepared By</w:t>
            </w:r>
          </w:p>
        </w:tc>
      </w:tr>
      <w:tr w:rsidR="003B2E49" w:rsidRPr="003B2E49" w14:paraId="075E7C5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4B777F"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June 30, 2025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34193B"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2016 - June 30, 2025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B8BAF6"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TERRP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E930A1"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00103244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FB7258"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Dr. OSMAN AÇIKGÖZ</w:t>
            </w:r>
          </w:p>
        </w:tc>
      </w:tr>
    </w:tbl>
    <w:p w14:paraId="4ED54F21"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This report has been prepared under the Strengthening the Health System Project to summarize the key findings of the field reports compiled by field coordinators working for the Ministry of Health. It reflects the results of visits to a total of 22 provinces and 350 districts during the first quarter of 2025. It also aims to convey the current situation in provinces affected by the earthquake and those receiving post-earthquake migration, while compiling the main measures taken to address the identified challenges.</w:t>
      </w:r>
    </w:p>
    <w:p w14:paraId="684974EF"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1. Introduction and Scope of the Report</w:t>
      </w:r>
    </w:p>
    <w:p w14:paraId="6517EDC2"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Monitoring and evaluation of health service delivery is the core element of building a resilient, sustainable, and continuously functioning health system prepared for disasters. In this framework, the health monitoring and evaluation mechanisms implemented by the Ministry of Health and relevant stakeholders during the 2016–2025 period aimed to measure service quality, access, and continuity both in regular periods and post-disaster processes. Within the scope of monitoring activities; service capacity, infrastructure status, personnel distribution, service utilization rates, and public health indicators were regularly evaluated. The findings obtained were utilized as the baseline dataset for both investment planning and crisis interventions.</w:t>
      </w:r>
    </w:p>
    <w:p w14:paraId="62090BC2"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This report is prepared to evaluate the impact of natural disasters, epidemics, and human-induced crises occurring in Türkiye from 2016 until the end of June 2025 on health services, and to document the practices, achievements, and policy implications developed during these processes.</w:t>
      </w:r>
    </w:p>
    <w:p w14:paraId="1014FAFB"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Continuous monitoring of health system resilience during disaster and crisis periods is the cornerstone of policy development processes. In this context, the report analyzes the impacts of events such as earthquakes, floods, avalanches, forest fires, pandemics, and mass migration movements experienced in Türkiye over the last 10 years on health services from a holistic perspective.</w:t>
      </w:r>
    </w:p>
    <w:p w14:paraId="0FED1912"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2. Major Events Occurring in Türkiye by Year and Their Impacts on the Health System</w:t>
      </w:r>
    </w:p>
    <w:p w14:paraId="15E78F9F"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During the 2016–2025 period, the impacts of major disasters and crisis events in Türkiye on the health system were observed at various levels. Monitoring systems established </w:t>
      </w:r>
      <w:r w:rsidRPr="003B2E49">
        <w:rPr>
          <w:rFonts w:ascii="Arial" w:eastAsia="Times New Roman" w:hAnsi="Arial" w:cs="Arial"/>
          <w:kern w:val="0"/>
          <w14:ligatures w14:val="none"/>
        </w:rPr>
        <w:lastRenderedPageBreak/>
        <w:t>by the Ministry of Health guided the policy and intervention development processes by tracking the impacts of these events with quantitative data. The events are classified by year as follows:</w:t>
      </w:r>
    </w:p>
    <w:p w14:paraId="6F7D968F" w14:textId="77777777" w:rsidR="003B2E49" w:rsidRPr="003B2E49" w:rsidRDefault="003B2E49" w:rsidP="003B2E49">
      <w:pPr>
        <w:numPr>
          <w:ilvl w:val="0"/>
          <w:numId w:val="1"/>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During the </w:t>
      </w:r>
      <w:r w:rsidRPr="003B2E49">
        <w:rPr>
          <w:rFonts w:ascii="Arial" w:eastAsia="Times New Roman" w:hAnsi="Arial" w:cs="Arial"/>
          <w:b/>
          <w:bCs/>
          <w:kern w:val="0"/>
          <w14:ligatures w14:val="none"/>
        </w:rPr>
        <w:t>2020 COVID-19 pandemic</w:t>
      </w:r>
      <w:r w:rsidRPr="003B2E49">
        <w:rPr>
          <w:rFonts w:ascii="Arial" w:eastAsia="Times New Roman" w:hAnsi="Arial" w:cs="Arial"/>
          <w:kern w:val="0"/>
          <w14:ligatures w14:val="none"/>
        </w:rPr>
        <w:t>, hospital capacity, intensive care unit (ICU) occupancy, and contact tracing (filiation) performance were tracked through daily monitoring dashboards.</w:t>
      </w:r>
    </w:p>
    <w:p w14:paraId="4005D6F2" w14:textId="77777777" w:rsidR="003B2E49" w:rsidRPr="003B2E49" w:rsidRDefault="003B2E49" w:rsidP="003B2E49">
      <w:pPr>
        <w:numPr>
          <w:ilvl w:val="0"/>
          <w:numId w:val="1"/>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Following the </w:t>
      </w:r>
      <w:r w:rsidRPr="003B2E49">
        <w:rPr>
          <w:rFonts w:ascii="Arial" w:eastAsia="Times New Roman" w:hAnsi="Arial" w:cs="Arial"/>
          <w:b/>
          <w:bCs/>
          <w:kern w:val="0"/>
          <w14:ligatures w14:val="none"/>
        </w:rPr>
        <w:t xml:space="preserve">2023 </w:t>
      </w:r>
      <w:proofErr w:type="spellStart"/>
      <w:r w:rsidRPr="003B2E49">
        <w:rPr>
          <w:rFonts w:ascii="Arial" w:eastAsia="Times New Roman" w:hAnsi="Arial" w:cs="Arial"/>
          <w:b/>
          <w:bCs/>
          <w:kern w:val="0"/>
          <w14:ligatures w14:val="none"/>
        </w:rPr>
        <w:t>Kahramanmaraş</w:t>
      </w:r>
      <w:proofErr w:type="spellEnd"/>
      <w:r w:rsidRPr="003B2E49">
        <w:rPr>
          <w:rFonts w:ascii="Arial" w:eastAsia="Times New Roman" w:hAnsi="Arial" w:cs="Arial"/>
          <w:b/>
          <w:bCs/>
          <w:kern w:val="0"/>
          <w14:ligatures w14:val="none"/>
        </w:rPr>
        <w:t>-centered earthquakes</w:t>
      </w:r>
      <w:r w:rsidRPr="003B2E49">
        <w:rPr>
          <w:rFonts w:ascii="Arial" w:eastAsia="Times New Roman" w:hAnsi="Arial" w:cs="Arial"/>
          <w:kern w:val="0"/>
          <w14:ligatures w14:val="none"/>
        </w:rPr>
        <w:t>, health service capacity utilization rates and personnel distribution at the provincial level were monitored instantly.</w:t>
      </w:r>
    </w:p>
    <w:p w14:paraId="3B13EA71" w14:textId="77777777" w:rsidR="003B2E49" w:rsidRPr="003B2E49" w:rsidRDefault="003B2E49" w:rsidP="003B2E49">
      <w:pPr>
        <w:numPr>
          <w:ilvl w:val="0"/>
          <w:numId w:val="1"/>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During </w:t>
      </w:r>
      <w:r w:rsidRPr="003B2E49">
        <w:rPr>
          <w:rFonts w:ascii="Arial" w:eastAsia="Times New Roman" w:hAnsi="Arial" w:cs="Arial"/>
          <w:b/>
          <w:bCs/>
          <w:kern w:val="0"/>
          <w14:ligatures w14:val="none"/>
        </w:rPr>
        <w:t>forest fires, floods, avalanches, and epidemic clusters</w:t>
      </w:r>
      <w:r w:rsidRPr="003B2E49">
        <w:rPr>
          <w:rFonts w:ascii="Arial" w:eastAsia="Times New Roman" w:hAnsi="Arial" w:cs="Arial"/>
          <w:kern w:val="0"/>
          <w14:ligatures w14:val="none"/>
        </w:rPr>
        <w:t>, the response time, access speed, and service efficiency of mobile health units were regularly reported.</w:t>
      </w:r>
    </w:p>
    <w:p w14:paraId="0615B371"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3. Health System Capacity in Disaster Response</w:t>
      </w:r>
    </w:p>
    <w:p w14:paraId="0991A6FC"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Effective planning and implementation of disaster response capacity is possible not only through operational readiness but also through the continuity of monitoring and evaluation systems. In the 2016–2025 period, indicators such as pre-disaster risk analysis, National Medical Rescue Team (UMKE) response times, and the efficiency of mobile service points were evaluated instantly on the Ministry of Health's monitoring dashboards. Following the 2023 earthquake, data such as daily service capacity, personnel distribution, and patient referral numbers across all disaster zones were tracked via online systems, and decision-making processes were shaped according to this data.</w:t>
      </w:r>
    </w:p>
    <w:p w14:paraId="33BFB61D"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4. Case Studies</w:t>
      </w:r>
    </w:p>
    <w:p w14:paraId="5CBA4296"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These case studies highlighted not only the response processes but also the monitoring and evaluation reflexes of the health system. During the COVID-19 period, case density and contact tracing were monitored simultaneously through digital systems, and bed distribution was managed according to ICU occupancy rates. In the 2023 earthquake, the location selection of service points was optimized </w:t>
      </w:r>
      <w:proofErr w:type="gramStart"/>
      <w:r w:rsidRPr="003B2E49">
        <w:rPr>
          <w:rFonts w:ascii="Arial" w:eastAsia="Times New Roman" w:hAnsi="Arial" w:cs="Arial"/>
          <w:kern w:val="0"/>
          <w14:ligatures w14:val="none"/>
        </w:rPr>
        <w:t>in light of</w:t>
      </w:r>
      <w:proofErr w:type="gramEnd"/>
      <w:r w:rsidRPr="003B2E49">
        <w:rPr>
          <w:rFonts w:ascii="Arial" w:eastAsia="Times New Roman" w:hAnsi="Arial" w:cs="Arial"/>
          <w:kern w:val="0"/>
          <w14:ligatures w14:val="none"/>
        </w:rPr>
        <w:t xml:space="preserve"> patient applications and service utilization density data. This approach tangibly demonstrated how data-driven health management functions under disaster conditions.</w:t>
      </w:r>
    </w:p>
    <w:p w14:paraId="70995C57"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5. Monitoring Findings: Service Continuity, Infrastructure, Logistics, Human Resources, and Mental Health</w:t>
      </w:r>
    </w:p>
    <w:p w14:paraId="46786C5E"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These findings were revealed through the monitoring and data-driven management of health service delivery. The MoH Performance Management System, UMKE Mission Reports, Turkish Disaster Response Plan (TAMP) implementation monitoring forms, and the weekly service utilization analyses of provincial directorates of health served as the primary data sources in this process. Indicators such as the number of people reached via mobile health vehicles, service distribution in temporary accommodation areas, and the deployment fields of mental health teams were regularly reported.</w:t>
      </w:r>
    </w:p>
    <w:p w14:paraId="14E2283E"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lastRenderedPageBreak/>
        <w:t>6. Policy Development Process and Legislative Implementations</w:t>
      </w:r>
    </w:p>
    <w:p w14:paraId="432EA10C"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Utilizing the </w:t>
      </w:r>
      <w:proofErr w:type="gramStart"/>
      <w:r w:rsidRPr="003B2E49">
        <w:rPr>
          <w:rFonts w:ascii="Arial" w:eastAsia="Times New Roman" w:hAnsi="Arial" w:cs="Arial"/>
          <w:kern w:val="0"/>
          <w14:ligatures w14:val="none"/>
        </w:rPr>
        <w:t>outputs</w:t>
      </w:r>
      <w:proofErr w:type="gramEnd"/>
      <w:r w:rsidRPr="003B2E49">
        <w:rPr>
          <w:rFonts w:ascii="Arial" w:eastAsia="Times New Roman" w:hAnsi="Arial" w:cs="Arial"/>
          <w:kern w:val="0"/>
          <w14:ligatures w14:val="none"/>
        </w:rPr>
        <w:t xml:space="preserve"> obtained from monitoring activities during the update processes of plans like TAMP and Hospital Disaster Plans (HAP) ensured that policy documents were revised according to real needs in the field. Furthermore, seismic resilience assessments and service continuity monitoring reports completed in 2024 within the framework of the National Earthquake Strategy and Action Plan (UDSEP) guided new investment decisions.</w:t>
      </w:r>
    </w:p>
    <w:p w14:paraId="6EE530FC"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7. Intervention Practices for Vulnerable Groups</w:t>
      </w:r>
    </w:p>
    <w:p w14:paraId="69951567"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Monitoring systems developed to measure the effectiveness of services targeting persons with disabilities, the elderly, women, and children (e.g., Home Health Monitoring Module, Women's Health Mobile Tracking Forms) were operationalized in the field. Mobile units reported the access rates to vulnerable groups on a weekly basis, and coverage levels in childhood immunizations were analyzed using geographic information systems (GIS).</w:t>
      </w:r>
    </w:p>
    <w:p w14:paraId="1762F2F4"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8. General Evaluation and Policy Recommendations</w:t>
      </w:r>
    </w:p>
    <w:p w14:paraId="4A0F28A5" w14:textId="77777777" w:rsidR="003B2E49" w:rsidRPr="003B2E49" w:rsidRDefault="003B2E49" w:rsidP="003B2E49">
      <w:pPr>
        <w:spacing w:after="100" w:afterAutospacing="1" w:line="240" w:lineRule="auto"/>
        <w:outlineLvl w:val="3"/>
        <w:rPr>
          <w:rFonts w:ascii="Arial" w:eastAsia="Times New Roman" w:hAnsi="Arial" w:cs="Arial"/>
          <w:b/>
          <w:bCs/>
          <w:kern w:val="0"/>
          <w14:ligatures w14:val="none"/>
        </w:rPr>
      </w:pPr>
      <w:r w:rsidRPr="003B2E49">
        <w:rPr>
          <w:rFonts w:ascii="Arial" w:eastAsia="Times New Roman" w:hAnsi="Arial" w:cs="Arial"/>
          <w:b/>
          <w:bCs/>
          <w:kern w:val="0"/>
          <w14:ligatures w14:val="none"/>
        </w:rPr>
        <w:t>8.1. General Evaluation</w:t>
      </w:r>
    </w:p>
    <w:p w14:paraId="42973003" w14:textId="77777777" w:rsidR="003B2E49" w:rsidRPr="003B2E49" w:rsidRDefault="003B2E49" w:rsidP="003B2E49">
      <w:pPr>
        <w:numPr>
          <w:ilvl w:val="0"/>
          <w:numId w:val="2"/>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In the 2016–2025 period, the health system in Türkiye increased its response capacity to disasters and major crises, strengthening its institutional reflexes in areas such as mobilization, data management, human resources, and environmental health.</w:t>
      </w:r>
    </w:p>
    <w:p w14:paraId="3D19B669" w14:textId="77777777" w:rsidR="003B2E49" w:rsidRPr="003B2E49" w:rsidRDefault="003B2E49" w:rsidP="003B2E49">
      <w:pPr>
        <w:numPr>
          <w:ilvl w:val="0"/>
          <w:numId w:val="2"/>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 xml:space="preserve">The rapid reconstruction of health infrastructure following the 2023 </w:t>
      </w:r>
      <w:proofErr w:type="spellStart"/>
      <w:r w:rsidRPr="003B2E49">
        <w:rPr>
          <w:rFonts w:ascii="Arial" w:eastAsia="Times New Roman" w:hAnsi="Arial" w:cs="Arial"/>
          <w:kern w:val="0"/>
          <w14:ligatures w14:val="none"/>
        </w:rPr>
        <w:t>Kahramanmaraş</w:t>
      </w:r>
      <w:proofErr w:type="spellEnd"/>
      <w:r w:rsidRPr="003B2E49">
        <w:rPr>
          <w:rFonts w:ascii="Arial" w:eastAsia="Times New Roman" w:hAnsi="Arial" w:cs="Arial"/>
          <w:kern w:val="0"/>
          <w14:ligatures w14:val="none"/>
        </w:rPr>
        <w:t xml:space="preserve"> earthquakes marked a turning point for the continuity of health services.</w:t>
      </w:r>
    </w:p>
    <w:p w14:paraId="1E77B363" w14:textId="77777777" w:rsidR="003B2E49" w:rsidRPr="003B2E49" w:rsidRDefault="003B2E49" w:rsidP="003B2E49">
      <w:pPr>
        <w:numPr>
          <w:ilvl w:val="0"/>
          <w:numId w:val="2"/>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Contact tracing, mobile service, and digital monitoring models developed during the COVID-19 pandemic were successfully transferred to subsequent disaster management practices.</w:t>
      </w:r>
    </w:p>
    <w:p w14:paraId="71299D40" w14:textId="77777777" w:rsidR="003B2E49" w:rsidRPr="003B2E49" w:rsidRDefault="003B2E49" w:rsidP="003B2E49">
      <w:pPr>
        <w:numPr>
          <w:ilvl w:val="0"/>
          <w:numId w:val="2"/>
        </w:num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However, it has been observed that regional inequalities persist in pre-disaster preparedness and proactive planning for vulnerable groups.</w:t>
      </w:r>
    </w:p>
    <w:p w14:paraId="64829A9B" w14:textId="77777777" w:rsidR="003B2E49" w:rsidRPr="003B2E49" w:rsidRDefault="003B2E49" w:rsidP="003B2E49">
      <w:pPr>
        <w:spacing w:after="100" w:afterAutospacing="1" w:line="240" w:lineRule="auto"/>
        <w:outlineLvl w:val="3"/>
        <w:rPr>
          <w:rFonts w:ascii="Arial" w:eastAsia="Times New Roman" w:hAnsi="Arial" w:cs="Arial"/>
          <w:b/>
          <w:bCs/>
          <w:kern w:val="0"/>
          <w14:ligatures w14:val="none"/>
        </w:rPr>
      </w:pPr>
      <w:r w:rsidRPr="003B2E49">
        <w:rPr>
          <w:rFonts w:ascii="Arial" w:eastAsia="Times New Roman" w:hAnsi="Arial" w:cs="Arial"/>
          <w:b/>
          <w:bCs/>
          <w:kern w:val="0"/>
          <w14:ligatures w14:val="none"/>
        </w:rPr>
        <w:t>8.2. Policy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7"/>
        <w:gridCol w:w="7513"/>
      </w:tblGrid>
      <w:tr w:rsidR="003B2E49" w:rsidRPr="003B2E49" w14:paraId="76B6F7F0"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721DFB"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Term</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F4C85B"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Recommendations</w:t>
            </w:r>
          </w:p>
        </w:tc>
      </w:tr>
      <w:tr w:rsidR="003B2E49" w:rsidRPr="003B2E49" w14:paraId="51EA4C2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2B652"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Short-Term</w:t>
            </w:r>
          </w:p>
          <w:p w14:paraId="5429613F"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52849895"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i/>
                <w:iCs/>
                <w:kern w:val="0"/>
                <w14:ligatures w14:val="none"/>
              </w:rPr>
              <w:t>(2025–2026)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DE7F25"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Testing hospital disaster and emergency plans (HAP) in all hospitals through scenario-based drills.</w:t>
            </w:r>
          </w:p>
          <w:p w14:paraId="49C08150"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792DAFDA"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Accelerating investment velocity to replace prefabricated service points with permanent structures.</w:t>
            </w:r>
          </w:p>
          <w:p w14:paraId="68C03D92"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lastRenderedPageBreak/>
              <w:br/>
            </w:r>
          </w:p>
          <w:p w14:paraId="32070226"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Supporting mobile health units with digital monitoring infrastructure.</w:t>
            </w:r>
          </w:p>
        </w:tc>
      </w:tr>
      <w:tr w:rsidR="003B2E49" w:rsidRPr="003B2E49" w14:paraId="2BD6DF0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78B15D"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lastRenderedPageBreak/>
              <w:t>Medium-Term</w:t>
            </w:r>
          </w:p>
          <w:p w14:paraId="453908EA"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3817C177"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i/>
                <w:iCs/>
                <w:kern w:val="0"/>
                <w14:ligatures w14:val="none"/>
              </w:rPr>
              <w:t>(2026–2028)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65BE83"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Establishing a Department of Disaster-Resilient Health Systems under the Ministry of Health.</w:t>
            </w:r>
          </w:p>
          <w:p w14:paraId="144A579F"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031032CE"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Considering disaster risks and migration trends in family medicine population planning.</w:t>
            </w:r>
          </w:p>
          <w:p w14:paraId="1F79AA42"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198559E8"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Integrating mental health and psychosocial support services into primary health care.</w:t>
            </w:r>
          </w:p>
        </w:tc>
      </w:tr>
      <w:tr w:rsidR="003B2E49" w:rsidRPr="003B2E49" w14:paraId="1E90408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376097"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b/>
                <w:bCs/>
                <w:kern w:val="0"/>
                <w14:ligatures w14:val="none"/>
              </w:rPr>
              <w:t>Long-Term</w:t>
            </w:r>
          </w:p>
          <w:p w14:paraId="00817885"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01F93CF1"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i/>
                <w:iCs/>
                <w:kern w:val="0"/>
                <w14:ligatures w14:val="none"/>
              </w:rPr>
              <w:t xml:space="preserve">(2028 and </w:t>
            </w:r>
            <w:proofErr w:type="gramStart"/>
            <w:r w:rsidRPr="003B2E49">
              <w:rPr>
                <w:rFonts w:ascii="Arial" w:eastAsia="Times New Roman" w:hAnsi="Arial" w:cs="Arial"/>
                <w:i/>
                <w:iCs/>
                <w:kern w:val="0"/>
                <w14:ligatures w14:val="none"/>
              </w:rPr>
              <w:t>Beyond</w:t>
            </w:r>
            <w:proofErr w:type="gramEnd"/>
            <w:r w:rsidRPr="003B2E49">
              <w:rPr>
                <w:rFonts w:ascii="Arial" w:eastAsia="Times New Roman" w:hAnsi="Arial" w:cs="Arial"/>
                <w:i/>
                <w:iCs/>
                <w:kern w:val="0"/>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A3ACFD"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Making ground surveys and isolation systems mandatory for health investments (in alignment with UDSEP recommendations).</w:t>
            </w:r>
          </w:p>
          <w:p w14:paraId="0F30372C"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47C14244"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Integrating elderly, disability, and child-friendly health infrastructure criteria into legislation.</w:t>
            </w:r>
          </w:p>
          <w:p w14:paraId="5C17F5C8"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br/>
            </w:r>
          </w:p>
          <w:p w14:paraId="1E3CD3A6" w14:textId="77777777" w:rsidR="003B2E49" w:rsidRPr="003B2E49" w:rsidRDefault="003B2E49" w:rsidP="003B2E49">
            <w:pPr>
              <w:spacing w:after="0" w:line="240" w:lineRule="auto"/>
              <w:rPr>
                <w:rFonts w:ascii="Arial" w:eastAsia="Times New Roman" w:hAnsi="Arial" w:cs="Arial"/>
                <w:kern w:val="0"/>
                <w14:ligatures w14:val="none"/>
              </w:rPr>
            </w:pPr>
            <w:r w:rsidRPr="003B2E49">
              <w:rPr>
                <w:rFonts w:ascii="Arial" w:eastAsia="Times New Roman" w:hAnsi="Arial" w:cs="Arial"/>
                <w:kern w:val="0"/>
                <w14:ligatures w14:val="none"/>
              </w:rPr>
              <w:t>* Establishing a national monitoring system for the health impacts of disasters linked to climate change.</w:t>
            </w:r>
          </w:p>
        </w:tc>
      </w:tr>
    </w:tbl>
    <w:p w14:paraId="1F09325F" w14:textId="77777777" w:rsidR="003B2E49" w:rsidRPr="003B2E49" w:rsidRDefault="003B2E49" w:rsidP="003B2E49">
      <w:pPr>
        <w:spacing w:after="100" w:afterAutospacing="1" w:line="240" w:lineRule="auto"/>
        <w:outlineLvl w:val="2"/>
        <w:rPr>
          <w:rFonts w:ascii="Arial" w:eastAsia="Times New Roman" w:hAnsi="Arial" w:cs="Arial"/>
          <w:b/>
          <w:bCs/>
          <w:kern w:val="0"/>
          <w:sz w:val="27"/>
          <w:szCs w:val="27"/>
          <w14:ligatures w14:val="none"/>
        </w:rPr>
      </w:pPr>
      <w:r w:rsidRPr="003B2E49">
        <w:rPr>
          <w:rFonts w:ascii="Arial" w:eastAsia="Times New Roman" w:hAnsi="Arial" w:cs="Arial"/>
          <w:b/>
          <w:bCs/>
          <w:kern w:val="0"/>
          <w:sz w:val="27"/>
          <w:szCs w:val="27"/>
          <w14:ligatures w14:val="none"/>
        </w:rPr>
        <w:t>CONCLUSION</w:t>
      </w:r>
    </w:p>
    <w:p w14:paraId="3EDE357D" w14:textId="77777777" w:rsidR="003B2E49" w:rsidRPr="003B2E49" w:rsidRDefault="003B2E49" w:rsidP="003B2E49">
      <w:pPr>
        <w:spacing w:after="100" w:afterAutospacing="1" w:line="240" w:lineRule="auto"/>
        <w:rPr>
          <w:rFonts w:ascii="Arial" w:eastAsia="Times New Roman" w:hAnsi="Arial" w:cs="Arial"/>
          <w:kern w:val="0"/>
          <w14:ligatures w14:val="none"/>
        </w:rPr>
      </w:pPr>
      <w:r w:rsidRPr="003B2E49">
        <w:rPr>
          <w:rFonts w:ascii="Arial" w:eastAsia="Times New Roman" w:hAnsi="Arial" w:cs="Arial"/>
          <w:kern w:val="0"/>
          <w14:ligatures w14:val="none"/>
        </w:rPr>
        <w:t>This report presents a multi-year analysis of the Turkish health system's resilience against disasters and aims to provide policy-level guidance for institutionalizing achievements and improving weaknesses. Based on field data and official sources, this monitoring and evaluation process aims to contribute to building a more prepared and inclusive health system for the post-2026 period.</w:t>
      </w:r>
    </w:p>
    <w:p w14:paraId="7101CE37" w14:textId="77777777" w:rsidR="003B2E49" w:rsidRDefault="003B2E49"/>
    <w:sectPr w:rsidR="003B2E4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979"/>
    <w:multiLevelType w:val="multilevel"/>
    <w:tmpl w:val="C38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E9765F"/>
    <w:multiLevelType w:val="multilevel"/>
    <w:tmpl w:val="E51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934999">
    <w:abstractNumId w:val="1"/>
  </w:num>
  <w:num w:numId="2" w16cid:durableId="153689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49"/>
    <w:rsid w:val="003B2E49"/>
    <w:rsid w:val="00A3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E655"/>
  <w15:chartTrackingRefBased/>
  <w15:docId w15:val="{9723EF84-CECF-443D-BB19-882EA24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2E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2E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2E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2E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2E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2E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2E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2E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2E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2E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2E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2E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2E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2E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2E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2E49"/>
    <w:rPr>
      <w:rFonts w:eastAsiaTheme="majorEastAsia" w:cstheme="majorBidi"/>
      <w:color w:val="272727" w:themeColor="text1" w:themeTint="D8"/>
    </w:rPr>
  </w:style>
  <w:style w:type="paragraph" w:styleId="KonuBal">
    <w:name w:val="Title"/>
    <w:basedOn w:val="Normal"/>
    <w:next w:val="Normal"/>
    <w:link w:val="KonuBalChar"/>
    <w:uiPriority w:val="10"/>
    <w:qFormat/>
    <w:rsid w:val="003B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2E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2E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2E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2E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2E49"/>
    <w:rPr>
      <w:i/>
      <w:iCs/>
      <w:color w:val="404040" w:themeColor="text1" w:themeTint="BF"/>
    </w:rPr>
  </w:style>
  <w:style w:type="paragraph" w:styleId="ListeParagraf">
    <w:name w:val="List Paragraph"/>
    <w:basedOn w:val="Normal"/>
    <w:uiPriority w:val="34"/>
    <w:qFormat/>
    <w:rsid w:val="003B2E49"/>
    <w:pPr>
      <w:ind w:left="720"/>
      <w:contextualSpacing/>
    </w:pPr>
  </w:style>
  <w:style w:type="character" w:styleId="GlVurgulama">
    <w:name w:val="Intense Emphasis"/>
    <w:basedOn w:val="VarsaylanParagrafYazTipi"/>
    <w:uiPriority w:val="21"/>
    <w:qFormat/>
    <w:rsid w:val="003B2E49"/>
    <w:rPr>
      <w:i/>
      <w:iCs/>
      <w:color w:val="0F4761" w:themeColor="accent1" w:themeShade="BF"/>
    </w:rPr>
  </w:style>
  <w:style w:type="paragraph" w:styleId="GlAlnt">
    <w:name w:val="Intense Quote"/>
    <w:basedOn w:val="Normal"/>
    <w:next w:val="Normal"/>
    <w:link w:val="GlAlntChar"/>
    <w:uiPriority w:val="30"/>
    <w:qFormat/>
    <w:rsid w:val="003B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2E49"/>
    <w:rPr>
      <w:i/>
      <w:iCs/>
      <w:color w:val="0F4761" w:themeColor="accent1" w:themeShade="BF"/>
    </w:rPr>
  </w:style>
  <w:style w:type="character" w:styleId="GlBavuru">
    <w:name w:val="Intense Reference"/>
    <w:basedOn w:val="VarsaylanParagrafYazTipi"/>
    <w:uiPriority w:val="32"/>
    <w:qFormat/>
    <w:rsid w:val="003B2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B0578 - Turkiye - Ankara</OfficeCountry>
    <DocumentStatus xmlns="d9cf0e28-81d2-4dc7-8b10-820d80ed680d">Final</DocumentStatus>
    <DocCoverageEndDate xmlns="d9cf0e28-81d2-4dc7-8b10-820d80ed680d">2024-12-31T05:00:00+00:00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00100165</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UNDP-TUR</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2024-01-01T05:00:00+00:00</DocCoverageStartDate>
    <FileClassificationMode xmlns="d9cf0e28-81d2-4dc7-8b10-820d80ed680d">Public</FileClassificationMode>
    <OutputNumber xmlns="d9cf0e28-81d2-4dc7-8b10-820d80ed680d">00103244</OutputNumber>
  </documentManagement>
</p:properties>
</file>

<file path=customXml/itemProps1.xml><?xml version="1.0" encoding="utf-8"?>
<ds:datastoreItem xmlns:ds="http://schemas.openxmlformats.org/officeDocument/2006/customXml" ds:itemID="{20A4436E-4168-42D3-BEAE-569294396795}"/>
</file>

<file path=customXml/itemProps2.xml><?xml version="1.0" encoding="utf-8"?>
<ds:datastoreItem xmlns:ds="http://schemas.openxmlformats.org/officeDocument/2006/customXml" ds:itemID="{2AECB289-9D01-4D04-A542-EF317FC0F327}"/>
</file>

<file path=customXml/itemProps3.xml><?xml version="1.0" encoding="utf-8"?>
<ds:datastoreItem xmlns:ds="http://schemas.openxmlformats.org/officeDocument/2006/customXml" ds:itemID="{91583C31-B1DC-4F7C-AD51-92622B524739}"/>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Seyyid Ali Ozdemir</dc:creator>
  <cp:keywords/>
  <dc:description/>
  <cp:lastModifiedBy>Seyyid Ali Ozdemir</cp:lastModifiedBy>
  <cp:revision>1</cp:revision>
  <dcterms:created xsi:type="dcterms:W3CDTF">2026-06-01T12:08:00Z</dcterms:created>
  <dcterms:modified xsi:type="dcterms:W3CDTF">2026-06-01T12:10:00Z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